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980" w:rsidRDefault="00576445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HNF</w:t>
      </w:r>
      <w:r w:rsidR="00BB149F">
        <w:rPr>
          <w:rFonts w:ascii="Arial" w:hAnsi="Arial" w:cs="Arial"/>
          <w:b/>
          <w:sz w:val="20"/>
          <w:szCs w:val="20"/>
        </w:rPr>
        <w:t>:</w:t>
      </w:r>
      <w:r w:rsidR="00D651E1">
        <w:rPr>
          <w:rFonts w:ascii="Arial" w:hAnsi="Arial" w:cs="Arial"/>
          <w:b/>
          <w:sz w:val="20"/>
          <w:szCs w:val="20"/>
        </w:rPr>
        <w:t xml:space="preserve"> </w:t>
      </w:r>
      <w:r w:rsidRPr="00576445">
        <w:rPr>
          <w:rFonts w:ascii="Arial" w:hAnsi="Arial" w:cs="Arial"/>
          <w:b/>
          <w:sz w:val="20"/>
          <w:szCs w:val="20"/>
        </w:rPr>
        <w:t>Adjusted plan on handling fractional shares and unsold shares</w:t>
      </w:r>
    </w:p>
    <w:p w:rsidR="000603A9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B93A2E">
        <w:rPr>
          <w:rFonts w:ascii="Arial" w:hAnsi="Arial" w:cs="Arial"/>
          <w:sz w:val="20"/>
          <w:szCs w:val="20"/>
        </w:rPr>
        <w:t>08</w:t>
      </w:r>
      <w:r w:rsidR="00E351D0">
        <w:rPr>
          <w:rFonts w:ascii="Arial" w:hAnsi="Arial" w:cs="Arial"/>
          <w:sz w:val="20"/>
          <w:szCs w:val="20"/>
        </w:rPr>
        <w:t xml:space="preserve"> Apr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proofErr w:type="spellStart"/>
      <w:r w:rsidR="00B93A2E" w:rsidRPr="00B93A2E">
        <w:rPr>
          <w:rFonts w:ascii="Arial" w:hAnsi="Arial" w:cs="Arial"/>
          <w:sz w:val="20"/>
          <w:szCs w:val="20"/>
        </w:rPr>
        <w:t>HuuNghi</w:t>
      </w:r>
      <w:proofErr w:type="spellEnd"/>
      <w:r w:rsidR="00B93A2E" w:rsidRPr="00B93A2E">
        <w:rPr>
          <w:rFonts w:ascii="Arial" w:hAnsi="Arial" w:cs="Arial"/>
          <w:sz w:val="20"/>
          <w:szCs w:val="20"/>
        </w:rPr>
        <w:t xml:space="preserve"> Food Joint Stock Company</w:t>
      </w:r>
      <w:r w:rsidR="00B93A2E">
        <w:rPr>
          <w:rFonts w:ascii="Arial" w:hAnsi="Arial" w:cs="Arial"/>
          <w:sz w:val="20"/>
          <w:szCs w:val="20"/>
        </w:rPr>
        <w:t xml:space="preserve">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8134FC">
        <w:rPr>
          <w:rFonts w:ascii="Arial" w:hAnsi="Arial" w:cs="Arial"/>
          <w:sz w:val="20"/>
          <w:szCs w:val="20"/>
        </w:rPr>
        <w:t xml:space="preserve"> </w:t>
      </w:r>
      <w:r w:rsidR="00B93A2E">
        <w:rPr>
          <w:rFonts w:ascii="Arial" w:hAnsi="Arial" w:cs="Arial"/>
          <w:sz w:val="20"/>
          <w:szCs w:val="20"/>
        </w:rPr>
        <w:t>a</w:t>
      </w:r>
      <w:r w:rsidR="00B93A2E" w:rsidRPr="00B93A2E">
        <w:rPr>
          <w:rFonts w:ascii="Arial" w:hAnsi="Arial" w:cs="Arial"/>
          <w:sz w:val="20"/>
          <w:szCs w:val="20"/>
        </w:rPr>
        <w:t>djusted plan on handling fractional shares and unsold shares</w:t>
      </w:r>
      <w:r w:rsidR="00E351D0" w:rsidRPr="00E351D0">
        <w:rPr>
          <w:rFonts w:ascii="Arial" w:hAnsi="Arial" w:cs="Arial"/>
          <w:sz w:val="20"/>
          <w:szCs w:val="20"/>
        </w:rPr>
        <w:t xml:space="preserve">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  <w:r w:rsidR="000603A9">
        <w:rPr>
          <w:rFonts w:ascii="Arial" w:hAnsi="Arial" w:cs="Arial"/>
          <w:sz w:val="20"/>
          <w:szCs w:val="20"/>
        </w:rPr>
        <w:tab/>
      </w:r>
    </w:p>
    <w:p w:rsidR="00B93A2E" w:rsidRDefault="00B93A2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Board resolution on approval of adjusting the plan on </w:t>
      </w:r>
      <w:r w:rsidRPr="00B93A2E">
        <w:rPr>
          <w:rFonts w:ascii="Arial" w:hAnsi="Arial" w:cs="Arial"/>
          <w:sz w:val="20"/>
          <w:szCs w:val="20"/>
        </w:rPr>
        <w:t>handling fractional shares and unsold shares</w:t>
      </w:r>
    </w:p>
    <w:p w:rsidR="00B93A2E" w:rsidRDefault="00B93A2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Offering results</w:t>
      </w:r>
    </w:p>
    <w:p w:rsidR="00B93A2E" w:rsidRDefault="00B93A2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3A2E">
        <w:rPr>
          <w:rFonts w:ascii="Arial" w:hAnsi="Arial" w:cs="Arial"/>
          <w:sz w:val="20"/>
          <w:szCs w:val="20"/>
        </w:rPr>
        <w:t xml:space="preserve">The Board of Directors corrected the result of offering shares to existing shareholders as stated in the </w:t>
      </w:r>
      <w:r>
        <w:rPr>
          <w:rFonts w:ascii="Arial" w:hAnsi="Arial" w:cs="Arial"/>
          <w:sz w:val="20"/>
          <w:szCs w:val="20"/>
        </w:rPr>
        <w:t>Board resolution No. 107/</w:t>
      </w:r>
      <w:r w:rsidRPr="00B93A2E">
        <w:rPr>
          <w:rFonts w:ascii="Arial" w:hAnsi="Arial" w:cs="Arial"/>
          <w:sz w:val="20"/>
          <w:szCs w:val="20"/>
        </w:rPr>
        <w:t xml:space="preserve">HDQT - TPHN dated April 3, 2020 due to negligence in the statistics of the list of exercising the rights to buy shares of </w:t>
      </w:r>
      <w:r>
        <w:rPr>
          <w:rFonts w:ascii="Arial" w:hAnsi="Arial" w:cs="Arial"/>
          <w:sz w:val="20"/>
          <w:szCs w:val="20"/>
        </w:rPr>
        <w:t>non-deposited shareholders</w:t>
      </w:r>
      <w:r w:rsidRPr="00B93A2E">
        <w:rPr>
          <w:rFonts w:ascii="Arial" w:hAnsi="Arial" w:cs="Arial"/>
          <w:sz w:val="20"/>
          <w:szCs w:val="20"/>
        </w:rPr>
        <w:t xml:space="preserve"> as follows: </w:t>
      </w:r>
    </w:p>
    <w:p w:rsidR="00B93A2E" w:rsidRDefault="00B93A2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3A2E">
        <w:rPr>
          <w:rFonts w:ascii="Arial" w:hAnsi="Arial" w:cs="Arial"/>
          <w:sz w:val="20"/>
          <w:szCs w:val="20"/>
        </w:rPr>
        <w:t xml:space="preserve">Ending the time of offering shares to existing shareholders (from March 6, 2020 to March 26, 2020), the results of the Company's share offering are as follows: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2176"/>
        <w:gridCol w:w="1367"/>
        <w:gridCol w:w="1368"/>
        <w:gridCol w:w="1368"/>
        <w:gridCol w:w="1373"/>
        <w:gridCol w:w="1366"/>
      </w:tblGrid>
      <w:tr w:rsidR="00B93A2E" w:rsidTr="00B93A2E">
        <w:tc>
          <w:tcPr>
            <w:tcW w:w="558" w:type="dxa"/>
          </w:tcPr>
          <w:p w:rsidR="00B93A2E" w:rsidRDefault="00B93A2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176" w:type="dxa"/>
          </w:tcPr>
          <w:p w:rsidR="00B93A2E" w:rsidRDefault="000F1B33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buyers</w:t>
            </w:r>
          </w:p>
        </w:tc>
        <w:tc>
          <w:tcPr>
            <w:tcW w:w="1367" w:type="dxa"/>
          </w:tcPr>
          <w:p w:rsidR="00B93A2E" w:rsidRDefault="00B93A2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3A2E">
              <w:rPr>
                <w:rFonts w:ascii="Arial" w:hAnsi="Arial" w:cs="Arial"/>
                <w:sz w:val="20"/>
                <w:szCs w:val="20"/>
              </w:rPr>
              <w:t xml:space="preserve">Number of </w:t>
            </w:r>
            <w:r>
              <w:rPr>
                <w:rFonts w:ascii="Arial" w:hAnsi="Arial" w:cs="Arial"/>
                <w:sz w:val="20"/>
                <w:szCs w:val="20"/>
              </w:rPr>
              <w:t xml:space="preserve">offered </w:t>
            </w:r>
            <w:r w:rsidRPr="00B93A2E">
              <w:rPr>
                <w:rFonts w:ascii="Arial" w:hAnsi="Arial" w:cs="Arial"/>
                <w:sz w:val="20"/>
                <w:szCs w:val="20"/>
              </w:rPr>
              <w:t>shares</w:t>
            </w:r>
            <w:r>
              <w:rPr>
                <w:rFonts w:ascii="Arial" w:hAnsi="Arial" w:cs="Arial"/>
                <w:sz w:val="20"/>
                <w:szCs w:val="20"/>
              </w:rPr>
              <w:t xml:space="preserve"> (share)</w:t>
            </w:r>
          </w:p>
        </w:tc>
        <w:tc>
          <w:tcPr>
            <w:tcW w:w="1368" w:type="dxa"/>
          </w:tcPr>
          <w:p w:rsidR="00B93A2E" w:rsidRDefault="00B93A2E" w:rsidP="00B93A2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3A2E">
              <w:rPr>
                <w:rFonts w:ascii="Arial" w:hAnsi="Arial" w:cs="Arial"/>
                <w:sz w:val="20"/>
                <w:szCs w:val="20"/>
              </w:rPr>
              <w:t xml:space="preserve">Number of </w:t>
            </w:r>
            <w:r>
              <w:rPr>
                <w:rFonts w:ascii="Arial" w:hAnsi="Arial" w:cs="Arial"/>
                <w:sz w:val="20"/>
                <w:szCs w:val="20"/>
              </w:rPr>
              <w:t xml:space="preserve">distributed </w:t>
            </w:r>
            <w:r w:rsidRPr="00B93A2E">
              <w:rPr>
                <w:rFonts w:ascii="Arial" w:hAnsi="Arial" w:cs="Arial"/>
                <w:sz w:val="20"/>
                <w:szCs w:val="20"/>
              </w:rPr>
              <w:t>shares</w:t>
            </w:r>
            <w:r>
              <w:rPr>
                <w:rFonts w:ascii="Arial" w:hAnsi="Arial" w:cs="Arial"/>
                <w:sz w:val="20"/>
                <w:szCs w:val="20"/>
              </w:rPr>
              <w:t xml:space="preserve"> (share)</w:t>
            </w:r>
          </w:p>
        </w:tc>
        <w:tc>
          <w:tcPr>
            <w:tcW w:w="1368" w:type="dxa"/>
          </w:tcPr>
          <w:p w:rsidR="00B93A2E" w:rsidRDefault="00B93A2E" w:rsidP="00B93A2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3A2E">
              <w:rPr>
                <w:rFonts w:ascii="Arial" w:hAnsi="Arial" w:cs="Arial"/>
                <w:sz w:val="20"/>
                <w:szCs w:val="20"/>
              </w:rPr>
              <w:t xml:space="preserve">Number of </w:t>
            </w:r>
            <w:r>
              <w:rPr>
                <w:rFonts w:ascii="Arial" w:hAnsi="Arial" w:cs="Arial"/>
                <w:sz w:val="20"/>
                <w:szCs w:val="20"/>
              </w:rPr>
              <w:t xml:space="preserve">fractional </w:t>
            </w:r>
            <w:r w:rsidRPr="00B93A2E">
              <w:rPr>
                <w:rFonts w:ascii="Arial" w:hAnsi="Arial" w:cs="Arial"/>
                <w:sz w:val="20"/>
                <w:szCs w:val="20"/>
              </w:rPr>
              <w:t>shares</w:t>
            </w:r>
            <w:r>
              <w:rPr>
                <w:rFonts w:ascii="Arial" w:hAnsi="Arial" w:cs="Arial"/>
                <w:sz w:val="20"/>
                <w:szCs w:val="20"/>
              </w:rPr>
              <w:t xml:space="preserve"> due to principle of distribution of  2:1 (share)</w:t>
            </w:r>
          </w:p>
        </w:tc>
        <w:tc>
          <w:tcPr>
            <w:tcW w:w="1373" w:type="dxa"/>
          </w:tcPr>
          <w:p w:rsidR="00B93A2E" w:rsidRDefault="00B93A2E" w:rsidP="00B93A2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3A2E">
              <w:rPr>
                <w:rFonts w:ascii="Arial" w:hAnsi="Arial" w:cs="Arial"/>
                <w:sz w:val="20"/>
                <w:szCs w:val="20"/>
              </w:rPr>
              <w:t>Number of shares</w:t>
            </w:r>
            <w:r>
              <w:rPr>
                <w:rFonts w:ascii="Arial" w:hAnsi="Arial" w:cs="Arial"/>
                <w:sz w:val="20"/>
                <w:szCs w:val="20"/>
              </w:rPr>
              <w:t xml:space="preserve"> the outstanding shareholders do not exercise their right</w:t>
            </w:r>
            <w:r w:rsidR="00D164CA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(share)</w:t>
            </w:r>
          </w:p>
        </w:tc>
        <w:tc>
          <w:tcPr>
            <w:tcW w:w="1366" w:type="dxa"/>
          </w:tcPr>
          <w:p w:rsidR="00B93A2E" w:rsidRDefault="00B93A2E" w:rsidP="00B93A2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3A2E">
              <w:rPr>
                <w:rFonts w:ascii="Arial" w:hAnsi="Arial" w:cs="Arial"/>
                <w:sz w:val="20"/>
                <w:szCs w:val="20"/>
              </w:rPr>
              <w:t xml:space="preserve">Number of </w:t>
            </w:r>
            <w:r>
              <w:rPr>
                <w:rFonts w:ascii="Arial" w:hAnsi="Arial" w:cs="Arial"/>
                <w:sz w:val="20"/>
                <w:szCs w:val="20"/>
              </w:rPr>
              <w:t xml:space="preserve">remaining </w:t>
            </w:r>
            <w:r w:rsidRPr="00B93A2E">
              <w:rPr>
                <w:rFonts w:ascii="Arial" w:hAnsi="Arial" w:cs="Arial"/>
                <w:sz w:val="20"/>
                <w:szCs w:val="20"/>
              </w:rPr>
              <w:t>shares</w:t>
            </w:r>
            <w:r>
              <w:rPr>
                <w:rFonts w:ascii="Arial" w:hAnsi="Arial" w:cs="Arial"/>
                <w:sz w:val="20"/>
                <w:szCs w:val="20"/>
              </w:rPr>
              <w:t xml:space="preserve"> (share)</w:t>
            </w:r>
          </w:p>
        </w:tc>
        <w:bookmarkStart w:id="0" w:name="_GoBack"/>
        <w:bookmarkEnd w:id="0"/>
      </w:tr>
      <w:tr w:rsidR="00B93A2E" w:rsidTr="00B93A2E">
        <w:tc>
          <w:tcPr>
            <w:tcW w:w="558" w:type="dxa"/>
          </w:tcPr>
          <w:p w:rsidR="00B93A2E" w:rsidRDefault="00B93A2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2176" w:type="dxa"/>
          </w:tcPr>
          <w:p w:rsidR="00B93A2E" w:rsidRDefault="00B93A2E" w:rsidP="002C5B7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1367" w:type="dxa"/>
          </w:tcPr>
          <w:p w:rsidR="00B93A2E" w:rsidRDefault="00B93A2E" w:rsidP="002C5B7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1368" w:type="dxa"/>
          </w:tcPr>
          <w:p w:rsidR="00B93A2E" w:rsidRDefault="00B93A2E" w:rsidP="002C5B7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1368" w:type="dxa"/>
          </w:tcPr>
          <w:p w:rsidR="00B93A2E" w:rsidRDefault="00B93A2E" w:rsidP="002C5B7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1373" w:type="dxa"/>
          </w:tcPr>
          <w:p w:rsidR="00B93A2E" w:rsidRDefault="00B93A2E" w:rsidP="002C5B7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(6)</w:t>
            </w:r>
          </w:p>
        </w:tc>
        <w:tc>
          <w:tcPr>
            <w:tcW w:w="1366" w:type="dxa"/>
          </w:tcPr>
          <w:p w:rsidR="00B93A2E" w:rsidRDefault="00B93A2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(7) = (5) + (6)</w:t>
            </w:r>
          </w:p>
        </w:tc>
      </w:tr>
      <w:tr w:rsidR="00B93A2E" w:rsidTr="00B93A2E">
        <w:tc>
          <w:tcPr>
            <w:tcW w:w="558" w:type="dxa"/>
          </w:tcPr>
          <w:p w:rsidR="00B93A2E" w:rsidRDefault="00B93A2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76" w:type="dxa"/>
          </w:tcPr>
          <w:p w:rsidR="00B93A2E" w:rsidRDefault="00B93A2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3A2E">
              <w:rPr>
                <w:rFonts w:ascii="Arial" w:hAnsi="Arial" w:cs="Arial"/>
                <w:sz w:val="20"/>
                <w:szCs w:val="20"/>
              </w:rPr>
              <w:t>Existing shareholders Price offered</w:t>
            </w:r>
            <w:r>
              <w:rPr>
                <w:rFonts w:ascii="Arial" w:hAnsi="Arial" w:cs="Arial"/>
                <w:sz w:val="20"/>
                <w:szCs w:val="20"/>
              </w:rPr>
              <w:t>: 10,000 VND</w:t>
            </w:r>
            <w:r w:rsidRPr="00B93A2E">
              <w:rPr>
                <w:rFonts w:ascii="Arial" w:hAnsi="Arial" w:cs="Arial"/>
                <w:sz w:val="20"/>
                <w:szCs w:val="20"/>
              </w:rPr>
              <w:t>/ share</w:t>
            </w:r>
          </w:p>
        </w:tc>
        <w:tc>
          <w:tcPr>
            <w:tcW w:w="1367" w:type="dxa"/>
          </w:tcPr>
          <w:p w:rsidR="00B93A2E" w:rsidRDefault="00B93A2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3A2E">
              <w:rPr>
                <w:rFonts w:ascii="Arial" w:hAnsi="Arial" w:cs="Arial"/>
                <w:sz w:val="20"/>
                <w:szCs w:val="20"/>
              </w:rPr>
              <w:t>10,000,000</w:t>
            </w:r>
          </w:p>
        </w:tc>
        <w:tc>
          <w:tcPr>
            <w:tcW w:w="1368" w:type="dxa"/>
          </w:tcPr>
          <w:p w:rsidR="00B93A2E" w:rsidRDefault="000F1B33" w:rsidP="000F1B3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</w:t>
            </w:r>
            <w:r w:rsidRPr="00B93A2E">
              <w:rPr>
                <w:rFonts w:ascii="Arial" w:hAnsi="Arial" w:cs="Arial"/>
                <w:sz w:val="20"/>
                <w:szCs w:val="20"/>
              </w:rPr>
              <w:t xml:space="preserve">889,875  </w:t>
            </w:r>
          </w:p>
        </w:tc>
        <w:tc>
          <w:tcPr>
            <w:tcW w:w="1368" w:type="dxa"/>
          </w:tcPr>
          <w:p w:rsidR="00B93A2E" w:rsidRDefault="000F1B33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373" w:type="dxa"/>
          </w:tcPr>
          <w:p w:rsidR="00B93A2E" w:rsidRDefault="000F1B33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110,0</w:t>
            </w:r>
            <w:r w:rsidRPr="00B93A2E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366" w:type="dxa"/>
          </w:tcPr>
          <w:p w:rsidR="00B93A2E" w:rsidRDefault="000F1B33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</w:t>
            </w:r>
            <w:r w:rsidRPr="00B93A2E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</w:tr>
    </w:tbl>
    <w:p w:rsidR="00B93A2E" w:rsidRDefault="00B93A2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F1B33" w:rsidRDefault="000F1B33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Pr="000F1B33">
        <w:rPr>
          <w:rFonts w:ascii="Arial" w:hAnsi="Arial" w:cs="Arial"/>
          <w:sz w:val="20"/>
          <w:szCs w:val="20"/>
        </w:rPr>
        <w:t xml:space="preserve"> Plan for dealing with odd shares and unsold shares </w:t>
      </w:r>
    </w:p>
    <w:p w:rsidR="000F1B33" w:rsidRDefault="000F1B33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1B33">
        <w:rPr>
          <w:rFonts w:ascii="Arial" w:hAnsi="Arial" w:cs="Arial"/>
          <w:sz w:val="20"/>
          <w:szCs w:val="20"/>
        </w:rPr>
        <w:t>Based on the results of the above-mentioned share offering, the Board of Directors agreed on adjusting number of shares to be dist</w:t>
      </w:r>
      <w:r>
        <w:rPr>
          <w:rFonts w:ascii="Arial" w:hAnsi="Arial" w:cs="Arial"/>
          <w:sz w:val="20"/>
          <w:szCs w:val="20"/>
        </w:rPr>
        <w:t>ributed according to the plan on handling</w:t>
      </w:r>
      <w:r w:rsidRPr="000F1B33">
        <w:rPr>
          <w:rFonts w:ascii="Arial" w:hAnsi="Arial" w:cs="Arial"/>
          <w:sz w:val="20"/>
          <w:szCs w:val="20"/>
        </w:rPr>
        <w:t xml:space="preserve"> the number of odd shares and shares not sold out to DNA Holding Joint Stock Company as follows: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2160"/>
        <w:gridCol w:w="1620"/>
        <w:gridCol w:w="3322"/>
        <w:gridCol w:w="1916"/>
      </w:tblGrid>
      <w:tr w:rsidR="000F1B33" w:rsidTr="000F1B33">
        <w:tc>
          <w:tcPr>
            <w:tcW w:w="558" w:type="dxa"/>
          </w:tcPr>
          <w:p w:rsidR="000F1B33" w:rsidRDefault="000F1B33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160" w:type="dxa"/>
          </w:tcPr>
          <w:p w:rsidR="000F1B33" w:rsidRDefault="000F1B33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1B33">
              <w:rPr>
                <w:rFonts w:ascii="Arial" w:hAnsi="Arial" w:cs="Arial"/>
                <w:sz w:val="20"/>
                <w:szCs w:val="20"/>
              </w:rPr>
              <w:t>Full name</w:t>
            </w:r>
          </w:p>
        </w:tc>
        <w:tc>
          <w:tcPr>
            <w:tcW w:w="1620" w:type="dxa"/>
          </w:tcPr>
          <w:p w:rsidR="000F1B33" w:rsidRDefault="000F1B33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1B33">
              <w:rPr>
                <w:rFonts w:ascii="Arial" w:hAnsi="Arial" w:cs="Arial"/>
                <w:sz w:val="20"/>
                <w:szCs w:val="20"/>
              </w:rPr>
              <w:t>Business Registration</w:t>
            </w:r>
          </w:p>
        </w:tc>
        <w:tc>
          <w:tcPr>
            <w:tcW w:w="3322" w:type="dxa"/>
          </w:tcPr>
          <w:p w:rsidR="000F1B33" w:rsidRDefault="000F1B33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1B33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1916" w:type="dxa"/>
          </w:tcPr>
          <w:p w:rsidR="000F1B33" w:rsidRDefault="000F1B33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1B33">
              <w:rPr>
                <w:rFonts w:ascii="Arial" w:hAnsi="Arial" w:cs="Arial"/>
                <w:sz w:val="20"/>
                <w:szCs w:val="20"/>
              </w:rPr>
              <w:t>Number of shares purchased</w:t>
            </w:r>
          </w:p>
        </w:tc>
      </w:tr>
      <w:tr w:rsidR="000F1B33" w:rsidTr="000F1B33">
        <w:tc>
          <w:tcPr>
            <w:tcW w:w="558" w:type="dxa"/>
          </w:tcPr>
          <w:p w:rsidR="000F1B33" w:rsidRDefault="000F1B33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0F1B33" w:rsidRDefault="000F1B33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1B33">
              <w:rPr>
                <w:rFonts w:ascii="Arial" w:hAnsi="Arial" w:cs="Arial"/>
                <w:sz w:val="20"/>
                <w:szCs w:val="20"/>
              </w:rPr>
              <w:t>DNA Holding Joint Stock Company</w:t>
            </w:r>
          </w:p>
        </w:tc>
        <w:tc>
          <w:tcPr>
            <w:tcW w:w="1620" w:type="dxa"/>
          </w:tcPr>
          <w:p w:rsidR="000F1B33" w:rsidRDefault="000F1B33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1B33">
              <w:rPr>
                <w:rFonts w:ascii="Arial" w:hAnsi="Arial" w:cs="Arial"/>
                <w:sz w:val="20"/>
                <w:szCs w:val="20"/>
              </w:rPr>
              <w:t>2301054242</w:t>
            </w:r>
          </w:p>
        </w:tc>
        <w:tc>
          <w:tcPr>
            <w:tcW w:w="3322" w:type="dxa"/>
          </w:tcPr>
          <w:p w:rsidR="000F1B33" w:rsidRDefault="000F1B33" w:rsidP="000F1B3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1B33">
              <w:rPr>
                <w:rFonts w:ascii="Arial" w:hAnsi="Arial" w:cs="Arial"/>
                <w:sz w:val="20"/>
                <w:szCs w:val="20"/>
              </w:rPr>
              <w:t xml:space="preserve">Lot CN15 - 2, Yen </w:t>
            </w:r>
            <w:proofErr w:type="spellStart"/>
            <w:r w:rsidRPr="000F1B33">
              <w:rPr>
                <w:rFonts w:ascii="Arial" w:hAnsi="Arial" w:cs="Arial"/>
                <w:sz w:val="20"/>
                <w:szCs w:val="20"/>
              </w:rPr>
              <w:t>Phong</w:t>
            </w:r>
            <w:proofErr w:type="spellEnd"/>
            <w:r w:rsidRPr="000F1B33">
              <w:rPr>
                <w:rFonts w:ascii="Arial" w:hAnsi="Arial" w:cs="Arial"/>
                <w:sz w:val="20"/>
                <w:szCs w:val="20"/>
              </w:rPr>
              <w:t xml:space="preserve"> Industrial Park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F1B33">
              <w:rPr>
                <w:rFonts w:ascii="Arial" w:hAnsi="Arial" w:cs="Arial"/>
                <w:sz w:val="20"/>
                <w:szCs w:val="20"/>
              </w:rPr>
              <w:t xml:space="preserve"> Yen </w:t>
            </w:r>
            <w:proofErr w:type="spellStart"/>
            <w:r w:rsidRPr="000F1B33">
              <w:rPr>
                <w:rFonts w:ascii="Arial" w:hAnsi="Arial" w:cs="Arial"/>
                <w:sz w:val="20"/>
                <w:szCs w:val="20"/>
              </w:rPr>
              <w:t>Trung</w:t>
            </w:r>
            <w:proofErr w:type="spellEnd"/>
            <w:r w:rsidRPr="000F1B33">
              <w:rPr>
                <w:rFonts w:ascii="Arial" w:hAnsi="Arial" w:cs="Arial"/>
                <w:sz w:val="20"/>
                <w:szCs w:val="20"/>
              </w:rPr>
              <w:t xml:space="preserve"> commune, Yen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district</w:t>
            </w:r>
            <w:r w:rsidRPr="000F1B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1B33">
              <w:rPr>
                <w:rFonts w:ascii="Arial" w:hAnsi="Arial" w:cs="Arial"/>
                <w:sz w:val="20"/>
                <w:szCs w:val="20"/>
              </w:rPr>
              <w:t>Phong</w:t>
            </w:r>
            <w:proofErr w:type="spellEnd"/>
            <w:r w:rsidRPr="000F1B3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F1B33">
              <w:rPr>
                <w:rFonts w:ascii="Arial" w:hAnsi="Arial" w:cs="Arial"/>
                <w:sz w:val="20"/>
                <w:szCs w:val="20"/>
              </w:rPr>
              <w:t>Bac</w:t>
            </w:r>
            <w:proofErr w:type="spellEnd"/>
            <w:r w:rsidRPr="000F1B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1B33">
              <w:rPr>
                <w:rFonts w:ascii="Arial" w:hAnsi="Arial" w:cs="Arial"/>
                <w:sz w:val="20"/>
                <w:szCs w:val="20"/>
              </w:rPr>
              <w:t>Ninh</w:t>
            </w:r>
            <w:proofErr w:type="spellEnd"/>
          </w:p>
        </w:tc>
        <w:tc>
          <w:tcPr>
            <w:tcW w:w="1916" w:type="dxa"/>
          </w:tcPr>
          <w:p w:rsidR="000F1B33" w:rsidRDefault="000F1B33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110,125</w:t>
            </w:r>
          </w:p>
        </w:tc>
      </w:tr>
      <w:tr w:rsidR="000F1B33" w:rsidTr="000F1B33">
        <w:tc>
          <w:tcPr>
            <w:tcW w:w="558" w:type="dxa"/>
          </w:tcPr>
          <w:p w:rsidR="000F1B33" w:rsidRDefault="000F1B33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0F1B33" w:rsidRDefault="000F1B33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620" w:type="dxa"/>
          </w:tcPr>
          <w:p w:rsidR="000F1B33" w:rsidRDefault="000F1B33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2" w:type="dxa"/>
          </w:tcPr>
          <w:p w:rsidR="000F1B33" w:rsidRDefault="000F1B33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:rsidR="000F1B33" w:rsidRDefault="000F1B33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110,125</w:t>
            </w:r>
          </w:p>
        </w:tc>
      </w:tr>
    </w:tbl>
    <w:p w:rsidR="000F1B33" w:rsidRDefault="000F1B33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F1B33" w:rsidRDefault="000F1B33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Offering p</w:t>
      </w:r>
      <w:r w:rsidRPr="000F1B33">
        <w:rPr>
          <w:rFonts w:ascii="Arial" w:hAnsi="Arial" w:cs="Arial"/>
          <w:sz w:val="20"/>
          <w:szCs w:val="20"/>
        </w:rPr>
        <w:t xml:space="preserve">rice: VND </w:t>
      </w:r>
      <w:r>
        <w:rPr>
          <w:rFonts w:ascii="Arial" w:hAnsi="Arial" w:cs="Arial"/>
          <w:sz w:val="20"/>
          <w:szCs w:val="20"/>
        </w:rPr>
        <w:t>10,000</w:t>
      </w:r>
      <w:r w:rsidRPr="000F1B33">
        <w:rPr>
          <w:rFonts w:ascii="Arial" w:hAnsi="Arial" w:cs="Arial"/>
          <w:sz w:val="20"/>
          <w:szCs w:val="20"/>
        </w:rPr>
        <w:t xml:space="preserve">/ share </w:t>
      </w:r>
    </w:p>
    <w:p w:rsidR="000F1B33" w:rsidRDefault="000F1B33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1B33">
        <w:rPr>
          <w:rFonts w:ascii="Arial" w:hAnsi="Arial" w:cs="Arial"/>
          <w:sz w:val="20"/>
          <w:szCs w:val="20"/>
        </w:rPr>
        <w:t xml:space="preserve">- Transfer restriction: the number of shares distributed to the above mentioned </w:t>
      </w:r>
      <w:r>
        <w:rPr>
          <w:rFonts w:ascii="Arial" w:hAnsi="Arial" w:cs="Arial"/>
          <w:sz w:val="20"/>
          <w:szCs w:val="20"/>
        </w:rPr>
        <w:t>buyers</w:t>
      </w:r>
      <w:r w:rsidRPr="000F1B33">
        <w:rPr>
          <w:rFonts w:ascii="Arial" w:hAnsi="Arial" w:cs="Arial"/>
          <w:sz w:val="20"/>
          <w:szCs w:val="20"/>
        </w:rPr>
        <w:t xml:space="preserve"> will be restricted for transfer </w:t>
      </w:r>
      <w:r>
        <w:rPr>
          <w:rFonts w:ascii="Arial" w:hAnsi="Arial" w:cs="Arial"/>
          <w:sz w:val="20"/>
          <w:szCs w:val="20"/>
        </w:rPr>
        <w:t xml:space="preserve">for </w:t>
      </w:r>
      <w:r w:rsidRPr="000F1B33">
        <w:rPr>
          <w:rFonts w:ascii="Arial" w:hAnsi="Arial" w:cs="Arial"/>
          <w:sz w:val="20"/>
          <w:szCs w:val="20"/>
        </w:rPr>
        <w:t>01 year from the date</w:t>
      </w:r>
      <w:r>
        <w:rPr>
          <w:rFonts w:ascii="Arial" w:hAnsi="Arial" w:cs="Arial"/>
          <w:sz w:val="20"/>
          <w:szCs w:val="20"/>
        </w:rPr>
        <w:t xml:space="preserve"> of completion of the offering</w:t>
      </w:r>
    </w:p>
    <w:p w:rsidR="000F1B33" w:rsidRDefault="000F1B33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1B33">
        <w:rPr>
          <w:rFonts w:ascii="Arial" w:hAnsi="Arial" w:cs="Arial"/>
          <w:sz w:val="20"/>
          <w:szCs w:val="20"/>
        </w:rPr>
        <w:t xml:space="preserve">Article 2: Implementing provisions: </w:t>
      </w:r>
    </w:p>
    <w:p w:rsidR="00B93A2E" w:rsidRDefault="000F1B33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1B33">
        <w:rPr>
          <w:rFonts w:ascii="Arial" w:hAnsi="Arial" w:cs="Arial"/>
          <w:sz w:val="20"/>
          <w:szCs w:val="20"/>
        </w:rPr>
        <w:t>This Resolution takes effect from the signing date an</w:t>
      </w:r>
      <w:r>
        <w:rPr>
          <w:rFonts w:ascii="Arial" w:hAnsi="Arial" w:cs="Arial"/>
          <w:sz w:val="20"/>
          <w:szCs w:val="20"/>
        </w:rPr>
        <w:t>d replaces Board Resolution No.107/ HD</w:t>
      </w:r>
      <w:r w:rsidRPr="000F1B33">
        <w:rPr>
          <w:rFonts w:ascii="Arial" w:hAnsi="Arial" w:cs="Arial"/>
          <w:sz w:val="20"/>
          <w:szCs w:val="20"/>
        </w:rPr>
        <w:t>QT</w:t>
      </w:r>
      <w:r>
        <w:rPr>
          <w:rFonts w:ascii="Arial" w:hAnsi="Arial" w:cs="Arial"/>
          <w:sz w:val="20"/>
          <w:szCs w:val="20"/>
        </w:rPr>
        <w:t xml:space="preserve">-TPHN dated April 3, 2020. </w:t>
      </w:r>
      <w:r w:rsidRPr="000F1B33">
        <w:rPr>
          <w:rFonts w:ascii="Arial" w:hAnsi="Arial" w:cs="Arial"/>
          <w:sz w:val="20"/>
          <w:szCs w:val="20"/>
        </w:rPr>
        <w:t xml:space="preserve">Members of the Board of Directors, the Supervisory Board, and the </w:t>
      </w:r>
      <w:r>
        <w:rPr>
          <w:rFonts w:ascii="Arial" w:hAnsi="Arial" w:cs="Arial"/>
          <w:sz w:val="20"/>
          <w:szCs w:val="20"/>
        </w:rPr>
        <w:t xml:space="preserve">Management Board of </w:t>
      </w:r>
      <w:proofErr w:type="spellStart"/>
      <w:r>
        <w:rPr>
          <w:rFonts w:ascii="Arial" w:hAnsi="Arial" w:cs="Arial"/>
          <w:sz w:val="20"/>
          <w:szCs w:val="20"/>
        </w:rPr>
        <w:t>Huu</w:t>
      </w:r>
      <w:r w:rsidRPr="000F1B33">
        <w:rPr>
          <w:rFonts w:ascii="Arial" w:hAnsi="Arial" w:cs="Arial"/>
          <w:sz w:val="20"/>
          <w:szCs w:val="20"/>
        </w:rPr>
        <w:t>Nghi</w:t>
      </w:r>
      <w:proofErr w:type="spellEnd"/>
      <w:r w:rsidRPr="000F1B33">
        <w:rPr>
          <w:rFonts w:ascii="Arial" w:hAnsi="Arial" w:cs="Arial"/>
          <w:sz w:val="20"/>
          <w:szCs w:val="20"/>
        </w:rPr>
        <w:t xml:space="preserve"> Food Joint Stock Company are responsible for implementing and inspecting the implementation of this Resolution</w:t>
      </w:r>
    </w:p>
    <w:sectPr w:rsidR="00B93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50E3D"/>
    <w:rsid w:val="000603A9"/>
    <w:rsid w:val="000A0B74"/>
    <w:rsid w:val="000D20D4"/>
    <w:rsid w:val="000E71F4"/>
    <w:rsid w:val="000F1B33"/>
    <w:rsid w:val="00132EC5"/>
    <w:rsid w:val="00146DCF"/>
    <w:rsid w:val="0016411D"/>
    <w:rsid w:val="00167E2F"/>
    <w:rsid w:val="001F34A1"/>
    <w:rsid w:val="001F6744"/>
    <w:rsid w:val="002B42CC"/>
    <w:rsid w:val="002D481A"/>
    <w:rsid w:val="002D4939"/>
    <w:rsid w:val="002D53EE"/>
    <w:rsid w:val="002E7FD0"/>
    <w:rsid w:val="00304722"/>
    <w:rsid w:val="00327CF7"/>
    <w:rsid w:val="0033774A"/>
    <w:rsid w:val="00397004"/>
    <w:rsid w:val="003A0ECB"/>
    <w:rsid w:val="003A5CE9"/>
    <w:rsid w:val="003B73F7"/>
    <w:rsid w:val="003C4606"/>
    <w:rsid w:val="004530A7"/>
    <w:rsid w:val="00467BC0"/>
    <w:rsid w:val="0047038B"/>
    <w:rsid w:val="00490B2B"/>
    <w:rsid w:val="00496733"/>
    <w:rsid w:val="004B2BA6"/>
    <w:rsid w:val="004C00FB"/>
    <w:rsid w:val="00503DD6"/>
    <w:rsid w:val="0052379D"/>
    <w:rsid w:val="005610CB"/>
    <w:rsid w:val="00576445"/>
    <w:rsid w:val="00576A91"/>
    <w:rsid w:val="0058434E"/>
    <w:rsid w:val="005906FC"/>
    <w:rsid w:val="005A3BA1"/>
    <w:rsid w:val="005B40E5"/>
    <w:rsid w:val="00695ACD"/>
    <w:rsid w:val="006B04E8"/>
    <w:rsid w:val="006E15A6"/>
    <w:rsid w:val="006E5E99"/>
    <w:rsid w:val="00732DC3"/>
    <w:rsid w:val="00744587"/>
    <w:rsid w:val="00745D9A"/>
    <w:rsid w:val="0077456B"/>
    <w:rsid w:val="007A072F"/>
    <w:rsid w:val="007A1FCC"/>
    <w:rsid w:val="007B67AF"/>
    <w:rsid w:val="008134FC"/>
    <w:rsid w:val="00837771"/>
    <w:rsid w:val="0084142F"/>
    <w:rsid w:val="0084485C"/>
    <w:rsid w:val="00853748"/>
    <w:rsid w:val="008544C2"/>
    <w:rsid w:val="008C7A42"/>
    <w:rsid w:val="00981275"/>
    <w:rsid w:val="009C28F2"/>
    <w:rsid w:val="009E1744"/>
    <w:rsid w:val="00A06443"/>
    <w:rsid w:val="00A06521"/>
    <w:rsid w:val="00A128FC"/>
    <w:rsid w:val="00A34999"/>
    <w:rsid w:val="00A63B6C"/>
    <w:rsid w:val="00AA54AD"/>
    <w:rsid w:val="00AB2C99"/>
    <w:rsid w:val="00AB32F6"/>
    <w:rsid w:val="00AC4F64"/>
    <w:rsid w:val="00AF67BE"/>
    <w:rsid w:val="00B04704"/>
    <w:rsid w:val="00B21CC3"/>
    <w:rsid w:val="00B70D7E"/>
    <w:rsid w:val="00B93A2E"/>
    <w:rsid w:val="00BA1F12"/>
    <w:rsid w:val="00BA3FB7"/>
    <w:rsid w:val="00BB149F"/>
    <w:rsid w:val="00BB2980"/>
    <w:rsid w:val="00BD3CCA"/>
    <w:rsid w:val="00C2280B"/>
    <w:rsid w:val="00C33F82"/>
    <w:rsid w:val="00C36031"/>
    <w:rsid w:val="00C940B5"/>
    <w:rsid w:val="00CA1BB3"/>
    <w:rsid w:val="00D164CA"/>
    <w:rsid w:val="00D52C26"/>
    <w:rsid w:val="00D651E1"/>
    <w:rsid w:val="00D74339"/>
    <w:rsid w:val="00D77F89"/>
    <w:rsid w:val="00D92EFF"/>
    <w:rsid w:val="00DA54D0"/>
    <w:rsid w:val="00DD263A"/>
    <w:rsid w:val="00DE5C3C"/>
    <w:rsid w:val="00DF4180"/>
    <w:rsid w:val="00E351D0"/>
    <w:rsid w:val="00E5565D"/>
    <w:rsid w:val="00ED6D41"/>
    <w:rsid w:val="00F272CE"/>
    <w:rsid w:val="00F320D6"/>
    <w:rsid w:val="00F33967"/>
    <w:rsid w:val="00F360CB"/>
    <w:rsid w:val="00F86F7A"/>
    <w:rsid w:val="00F903A5"/>
    <w:rsid w:val="00FC153A"/>
    <w:rsid w:val="00FD3EED"/>
    <w:rsid w:val="00FD4001"/>
    <w:rsid w:val="00FE1D4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2139C0-F39D-4030-89C0-08AC83AA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Windows User</cp:lastModifiedBy>
  <cp:revision>118</cp:revision>
  <dcterms:created xsi:type="dcterms:W3CDTF">2019-10-16T10:03:00Z</dcterms:created>
  <dcterms:modified xsi:type="dcterms:W3CDTF">2020-04-13T04:23:00Z</dcterms:modified>
</cp:coreProperties>
</file>